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31347D">
        <w:rPr>
          <w:rFonts w:ascii="Arial" w:hAnsi="Arial" w:cs="Arial"/>
          <w:sz w:val="22"/>
          <w:szCs w:val="22"/>
          <w:lang w:val="es-MX"/>
        </w:rPr>
        <w:t>a presentación editorial</w:t>
      </w:r>
      <w:r w:rsidR="005427D9">
        <w:rPr>
          <w:rFonts w:ascii="Arial" w:hAnsi="Arial" w:cs="Arial"/>
          <w:sz w:val="22"/>
          <w:szCs w:val="22"/>
          <w:lang w:val="es-MX"/>
        </w:rPr>
        <w:t xml:space="preserve">: </w:t>
      </w:r>
      <w:r w:rsidR="005427D9" w:rsidRPr="005427D9">
        <w:rPr>
          <w:rFonts w:ascii="Arial" w:hAnsi="Arial" w:cs="Arial"/>
          <w:b/>
          <w:sz w:val="22"/>
          <w:szCs w:val="22"/>
          <w:lang w:val="es-MX"/>
        </w:rPr>
        <w:t>“</w:t>
      </w:r>
      <w:r w:rsidR="005427D9">
        <w:rPr>
          <w:b/>
          <w:i/>
          <w:lang w:val="es-MX"/>
        </w:rPr>
        <w:t>CONSULADO DE MÉXICO AÑO 1809. BUQUES HABANEROS</w:t>
      </w:r>
      <w:r w:rsidR="009840DE" w:rsidRPr="0095199B">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5427D9">
        <w:rPr>
          <w:b/>
          <w:i/>
          <w:lang w:val="es-MX"/>
        </w:rPr>
        <w:t>CONSULADO DE MÉXICO AÑO 1809. BUQUES HABANEROS</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1F0E14">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D1" w:rsidRDefault="00B667D1">
      <w:pPr>
        <w:spacing w:after="0"/>
      </w:pPr>
      <w:r>
        <w:separator/>
      </w:r>
    </w:p>
  </w:endnote>
  <w:endnote w:type="continuationSeparator" w:id="0">
    <w:p w:rsidR="00B667D1" w:rsidRDefault="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667D1"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D1" w:rsidRDefault="00B667D1">
      <w:pPr>
        <w:spacing w:after="0"/>
      </w:pPr>
      <w:r>
        <w:separator/>
      </w:r>
    </w:p>
  </w:footnote>
  <w:footnote w:type="continuationSeparator" w:id="0">
    <w:p w:rsidR="00B667D1" w:rsidRDefault="00B667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667D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B667D1"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667D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1F0E14"/>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5565"/>
    <w:rsid w:val="00537BA8"/>
    <w:rsid w:val="005427D9"/>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667D1"/>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C1EA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8488F8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2019-12-16T19:47:00Z</dcterms:created>
  <dcterms:modified xsi:type="dcterms:W3CDTF">2019-12-16T19:47:00Z</dcterms:modified>
</cp:coreProperties>
</file>